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line="360" w:lineRule="auto"/>
        <w:ind w:firstLine="720"/>
        <w:jc w:val="right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הגשה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color w:val="4b4b4b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27/8/2017</w:t>
      </w:r>
    </w:p>
    <w:p w:rsidR="00000000" w:rsidDel="00000000" w:rsidP="00000000" w:rsidRDefault="00000000" w:rsidRPr="00000000" w14:paraId="00000002">
      <w:pPr>
        <w:pageBreakBefore w:val="0"/>
        <w:bidi w:val="1"/>
        <w:spacing w:line="360" w:lineRule="auto"/>
        <w:jc w:val="right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3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המכללה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האקדמית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צפת</w:t>
      </w:r>
    </w:p>
    <w:p w:rsidR="00000000" w:rsidDel="00000000" w:rsidP="00000000" w:rsidRDefault="00000000" w:rsidRPr="00000000" w14:paraId="00000005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למשפטים</w:t>
      </w:r>
    </w:p>
    <w:p w:rsidR="00000000" w:rsidDel="00000000" w:rsidP="00000000" w:rsidRDefault="00000000" w:rsidRPr="00000000" w14:paraId="00000006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סמינריון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במחקר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חוקתיות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חוקה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מוגש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לפרופ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מוחמד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ותד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החיבור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היתכנות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שדרך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תוביל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להפרדת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                                                                                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מוגש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bidi w:val="1"/>
        <w:spacing w:line="360" w:lineRule="auto"/>
        <w:jc w:val="right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אחישחר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יחזקאל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                                                                                   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033236290                                       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                      </w:t>
      </w:r>
    </w:p>
    <w:p w:rsidR="00000000" w:rsidDel="00000000" w:rsidP="00000000" w:rsidRDefault="00000000" w:rsidRPr="00000000" w14:paraId="00000012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bidi w:val="1"/>
        <w:spacing w:line="360" w:lineRule="auto"/>
        <w:jc w:val="center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.....................................................................................................2</w:t>
      </w:r>
    </w:p>
    <w:p w:rsidR="00000000" w:rsidDel="00000000" w:rsidP="00000000" w:rsidRDefault="00000000" w:rsidRPr="00000000" w14:paraId="0000001B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היסטורית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ימנו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.................3</w:t>
      </w:r>
    </w:p>
    <w:p w:rsidR="00000000" w:rsidDel="00000000" w:rsidP="00000000" w:rsidRDefault="00000000" w:rsidRPr="00000000" w14:paraId="0000001C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המסגרת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הדיונית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D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      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המשפיעות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הבטחת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..........................5 </w:t>
      </w:r>
    </w:p>
    <w:p w:rsidR="00000000" w:rsidDel="00000000" w:rsidP="00000000" w:rsidRDefault="00000000" w:rsidRPr="00000000" w14:paraId="0000001E">
      <w:pPr>
        <w:pageBreakBefore w:val="0"/>
        <w:bidi w:val="1"/>
        <w:spacing w:line="360" w:lineRule="auto"/>
        <w:ind w:right="-426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כתכלית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בבחירת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.......................................................................................8     </w:t>
      </w:r>
    </w:p>
    <w:p w:rsidR="00000000" w:rsidDel="00000000" w:rsidP="00000000" w:rsidRDefault="00000000" w:rsidRPr="00000000" w14:paraId="0000001F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היתכנות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אימוץ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כפקטור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שישפיע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מתוקנת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......................................................................................12</w:t>
      </w:r>
    </w:p>
    <w:p w:rsidR="00000000" w:rsidDel="00000000" w:rsidP="00000000" w:rsidRDefault="00000000" w:rsidRPr="00000000" w14:paraId="00000020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...........................................................................................13</w:t>
      </w:r>
    </w:p>
    <w:p w:rsidR="00000000" w:rsidDel="00000000" w:rsidP="00000000" w:rsidRDefault="00000000" w:rsidRPr="00000000" w14:paraId="00000021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הרצוי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...........................................................................................15</w:t>
      </w:r>
    </w:p>
    <w:p w:rsidR="00000000" w:rsidDel="00000000" w:rsidP="00000000" w:rsidRDefault="00000000" w:rsidRPr="00000000" w14:paraId="00000022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משווה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התפתחות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בקנדה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....17</w:t>
      </w:r>
    </w:p>
    <w:p w:rsidR="00000000" w:rsidDel="00000000" w:rsidP="00000000" w:rsidRDefault="00000000" w:rsidRPr="00000000" w14:paraId="00000023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חלופית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.........................................................................18</w:t>
      </w:r>
    </w:p>
    <w:p w:rsidR="00000000" w:rsidDel="00000000" w:rsidP="00000000" w:rsidRDefault="00000000" w:rsidRPr="00000000" w14:paraId="00000024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...............................................................................................20</w:t>
      </w:r>
    </w:p>
    <w:p w:rsidR="00000000" w:rsidDel="00000000" w:rsidP="00000000" w:rsidRDefault="00000000" w:rsidRPr="00000000" w14:paraId="00000025">
      <w:pPr>
        <w:pageBreakBefore w:val="0"/>
        <w:bidi w:val="1"/>
        <w:spacing w:line="360" w:lineRule="auto"/>
        <w:ind w:right="-284"/>
        <w:rPr>
          <w:rFonts w:ascii="David" w:cs="David" w:eastAsia="David" w:hAnsi="David"/>
          <w:b w:val="1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ביבליוגרפיה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.........................................................................................22</w:t>
      </w:r>
    </w:p>
    <w:p w:rsidR="00000000" w:rsidDel="00000000" w:rsidP="00000000" w:rsidRDefault="00000000" w:rsidRPr="00000000" w14:paraId="00000026">
      <w:pPr>
        <w:pageBreakBefore w:val="0"/>
        <w:bidi w:val="1"/>
        <w:spacing w:line="360" w:lineRule="auto"/>
        <w:ind w:right="-567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bidi w:val="1"/>
        <w:spacing w:line="36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  <w:sectPr>
          <w:headerReference r:id="rId8" w:type="default"/>
          <w:pgSz w:h="16838" w:w="11906" w:orient="portrait"/>
          <w:pgMar w:bottom="1440" w:top="1440" w:left="1800" w:right="18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bidi w:val="1"/>
        <w:spacing w:line="36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bidi w:val="1"/>
        <w:spacing w:line="36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  <w:sectPr>
          <w:type w:val="continuous"/>
          <w:pgSz w:h="16838" w:w="11906" w:orient="portrait"/>
          <w:pgMar w:bottom="1440" w:top="1440" w:left="1800" w:right="180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המשתנים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מהכותבים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משביעת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אידאלי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במיעוטו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הנוסחה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שתשקף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מחזיקי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בנאמנות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השומרים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חוכמתו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אוחז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ימחץ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אגרופו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וישחרר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למעופו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נשאלת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קמוצה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35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הפיקוח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האכיפה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והשיפוט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כמעגל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ומגריעתם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המחוקקים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ולחמלה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</w:t>
      </w:r>
    </w:p>
    <w:p w:rsidR="00000000" w:rsidDel="00000000" w:rsidP="00000000" w:rsidRDefault="00000000" w:rsidRPr="00000000" w14:paraId="00000036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ייעודו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וחלוקת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המשאבים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שבחזקתו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העדפה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למקורבו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סחורתו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המשתנה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לנוכחות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שתעגן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מסתבר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שראשי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האכיפה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התביעה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והשיפוט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רציונלית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במלואם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מימושם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37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היסטורית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שנשקלות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נלמדות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אבירם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לאמצה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ייתכן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מתיימרת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שמכבר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ומתיימרת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היסטורית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ימנו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9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1948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1953.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לערכאות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בלעדית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חשאית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1953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1984.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-1953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הסתדרות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המסמיך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שמניתי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הנציגים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הסתדרות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שמקצועם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בחקיקה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הארצית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הלשכה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A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לקיומן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1953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1984,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ברנזון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שישכנע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בנרנזון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במאמרו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1953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שיתחשב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מבוטל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מקרבם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ולהקרין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סולידריות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ושותפות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העקרונות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פורמלי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בלגיטימיות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שדוגמה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מרתקת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המאבקים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נשארים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הקלעים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B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אהרון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בתמורה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הדוגמאות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והבטחתו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המסגרת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הדיונית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המשפיעות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לתנאים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</w:t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וותק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עריכת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לחריג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מובהק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בודק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גווניה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מתרשם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שהתולדה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השיקוף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מהמסקנות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שנדרשות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כיסא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הכיסא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פורמאלי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למגזר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אחוזיו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בהתחשבות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ברגשות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התפיסות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וצדק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המיעוט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וליישם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אובייקטיבי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2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מגזרי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בנחיצות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מחתכים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1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המבוססת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שמופעלות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האזרח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מיוחלת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ביצועית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בלעדי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מתחלקת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כיחיד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נגזרים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אספקטים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המתייחסת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להבטחת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העסקה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שכוונתה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הכותבים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7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מתבטאת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בהסכמתו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וסגני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הבעייתיות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אספקטים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אספקט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מתפקידו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להתדיין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באצטלה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משובצים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10(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לכהונה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בערכאה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להסכמת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המשמעות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משיקולי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מתבטא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ייהפך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הקביעות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6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אידיאולוגית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7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רשויות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וחירותו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הימנעות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זכויותיו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וחירותו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0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כאידאה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מאילוצי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חקיקת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בזריזות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הסכסוך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והאכיפה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מוחלטת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בהפרדה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המכהנים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המחוקקת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3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וסגני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והמחוזי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וסמכותו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החקיקתי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בהגדרה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קואליציה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והחרב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הבעיתי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בלעדי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שבמהלכו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כשופט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החקיקתי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)(2)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בתמיכה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וועדה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0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 </w:t>
      </w:r>
    </w:p>
    <w:p w:rsidR="00000000" w:rsidDel="00000000" w:rsidP="00000000" w:rsidRDefault="00000000" w:rsidRPr="00000000" w14:paraId="00000045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8"/>
          <w:szCs w:val="28"/>
          <w:u w:val="singl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כתכלית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בבחירת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תקין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לנוהל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בשוויוניות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טוהר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המידות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בלעדיה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מחזיקי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המחזיק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סטנדרטים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כנאמן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6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0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48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וניהול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הנכסים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68(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בפומבי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המאפשרים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בדלתיים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68(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אינטרסים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מוצדקים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העדפה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5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הנורמטיבי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להמחיש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ציטרין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לעתירה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עיתונאי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שהמניע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בסודיות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בנחלת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יחששו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מועמדותם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בראשיתו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מסתדר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ממילא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מורגלים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זכוכית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7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עתירה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נידונה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13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השעיה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השגותיו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הפרסום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התנגדותו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נדחתה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שהחלטת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חורגת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הסבירות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3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הזכרה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העשייה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איפשור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התנגדותו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ולהצביע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שהבחירות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רבב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להתלוות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המחזיקים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ואכיפה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שאפיונה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פתוח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המחזיקים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המטהר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היעיל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בבסיסה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אספקט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מהנגזרות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מוגדר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סותרים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8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בגרסאותיו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הגרסה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מופקדים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סותרים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ההימצאות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פיתוי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תביאונו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מזווית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הסתכלות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אובייקטיבית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להצביע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החריג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להחלת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מפורשת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2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סותרים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וענייני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להכניס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גביזון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וזכויות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להצגתה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שדגלה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אקטיביזם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שכיהנה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ותמכה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גביזון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בסמכותה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וכטקטיקה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עיכבה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כינוס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ממלאים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דרישת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כשלוחים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7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התייעצות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מוקדמת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הסתכלותם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ממצאי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9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שמגבשים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נוהגים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התייעצות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נוגעת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שנפגעת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השוויון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שהמלצתו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שתדלנות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שחפצם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להצדיק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1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ייתכנות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אימוץ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כפקטור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שישפיע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מתוקנת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פקטור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מהמשתנים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שמגבילה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ליצירתה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תקינים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ויאומצו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במחוזות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מגבילים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תיוולד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1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הכשיר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בטוהר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בהנחה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מחוקקים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קואליציוני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0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וקואליציה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לנהוג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מענפי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פסולה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המצוי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והתייחסות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שבפוטנציה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שחששם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-18,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שוקלת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הטעמים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3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כינוס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סמכותו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ההתכנסות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מושהית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המצטבר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שולחנו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להודיע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כינוס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מתפנה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7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הפרדוקסלי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נכנסים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קונצנזוס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רגיל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1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שיצטרפו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0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ועקיפה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בהסכמתו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ועקיפה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בקצרה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חורגת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מבוטלת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בהנהלת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שמתבטאת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וקביעת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3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57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bookmarkStart w:colFirst="0" w:colLast="0" w:name="bookmark=id.1ksv4uv" w:id="14"/>
      <w:bookmarkEnd w:id="14"/>
      <w:bookmarkStart w:colFirst="0" w:colLast="0" w:name="bookmark=id.35nkun2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פרוטוקול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פרוטוקול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פרוטוקול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לשורשו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5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3344"/>
        </w:tabs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פטורה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פרקליטת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הפטור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מהחובה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בסודיות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נשאלת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לאמירה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ציטוט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מפסיקה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נימוקים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והנמקות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-1958.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נימוקים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מינהלית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8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A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הרצוי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C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שהנשאים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צידוק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29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5D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שנציגות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שעדיף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1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E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להמליץ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קואליציה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לאקדמיה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מייעצת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3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F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כנציגים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לתחושה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מגובשת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5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0">
      <w:pPr>
        <w:pageBreakBefore w:val="0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לחבריה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אקדמאיים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לחזק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3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השוואה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צבאיים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יושבים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והשאר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מקצוע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rtl w:val="1"/>
        </w:rPr>
        <w:t xml:space="preserve">דילים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vertAlign w:val="superscript"/>
        </w:rPr>
        <w:footnoteReference w:customMarkFollows="0" w:id="13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הדעה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החשש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הפתיחה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יסתיים</w:t>
      </w:r>
      <w:r w:rsidDel="00000000" w:rsidR="00000000" w:rsidRPr="00000000">
        <w:rPr>
          <w:rFonts w:ascii="David" w:cs="David" w:eastAsia="David" w:hAnsi="David"/>
          <w:vertAlign w:val="superscript"/>
        </w:rPr>
        <w:footnoteReference w:customMarkFollows="0" w:id="13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לשמר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הנוהג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הקפדה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ייצוג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לאופוזיציה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לקואליציה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מסמרות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vertAlign w:val="superscript"/>
        </w:rPr>
        <w:footnoteReference w:customMarkFollows="0" w:id="139"/>
      </w:r>
      <w:r w:rsidDel="00000000" w:rsidR="00000000" w:rsidRPr="00000000">
        <w:rPr>
          <w:rFonts w:ascii="David" w:cs="David" w:eastAsia="David" w:hAnsi="David"/>
          <w:rtl w:val="0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גיבוש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הסטטוס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בפסיקתו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להכריע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להעניק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1"/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2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ההצדקות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הסניוריטי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הנוהג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הצדקה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ניהולית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4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הגברת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המתרכזת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פרוצדורה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הפרקטיקה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שמתוכם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הפרקטיקה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6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להזים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8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  </w:t>
      </w:r>
    </w:p>
    <w:p w:rsidR="00000000" w:rsidDel="00000000" w:rsidP="00000000" w:rsidRDefault="00000000" w:rsidRPr="00000000" w14:paraId="00000065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משווה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התפתחות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בקנדה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bidi w:val="1"/>
        <w:spacing w:line="480" w:lineRule="auto"/>
        <w:rPr>
          <w:rFonts w:ascii="David" w:cs="David" w:eastAsia="David" w:hAnsi="David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מתהליכים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שקוראים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בקנדה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מומלצים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4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ההתדיינות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והשיקולים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הודיעה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המייעצת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למזער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ושחברי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הפרלמנט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והסנאטורים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1"/>
      </w:r>
      <w:r w:rsidDel="00000000" w:rsidR="00000000" w:rsidRPr="00000000">
        <w:rPr>
          <w:rFonts w:ascii="David" w:cs="David" w:eastAsia="David" w:hAnsi="David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חלופית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:</w:t>
      </w:r>
    </w:p>
    <w:p w:rsidR="00000000" w:rsidDel="00000000" w:rsidP="00000000" w:rsidRDefault="00000000" w:rsidRPr="00000000" w14:paraId="00000068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  <w:sectPr>
          <w:type w:val="continuous"/>
          <w:pgSz w:h="16838" w:w="11906" w:orient="portrait"/>
          <w:pgMar w:bottom="1440" w:top="1440" w:left="1800" w:right="1800" w:header="708" w:footer="708"/>
        </w:sectPr>
      </w:pPr>
      <w:bookmarkStart w:colFirst="0" w:colLast="0" w:name="_heading=h.z337ya" w:id="18"/>
      <w:bookmarkEnd w:id="18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שהוזכרו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ובולמות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לפקח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לאכוף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ועצמאית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בכינויה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הרביעית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השכר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הזוטר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יועץ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לממשלה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פרקליטים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והעומד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בראשה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מהתכליות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ולגבות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שמוגדר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ממילא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גיבוי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הגמשת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המתבקשת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7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15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העובדים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ייעודו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מקודמים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כשירותם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קירבתם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והסגנים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23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5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המחוקקת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הסמכתו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לפקח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לאכוף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הפעלתו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המחוקקת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העסקתו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קיצורי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מכריז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בפומבי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שמתפנה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מובהק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לנהלים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מולו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שמאיישים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שהוכרז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היווצרות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בדרישת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במינויו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ממילא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לנוהל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ומקצועי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ומועסקי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ממועסקי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כאמצעי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ומתוגמל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מעסיקו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להתרחש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לנהלים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לפטרו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לביקורות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לפתרון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ממועסקי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ממילא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ומתפקדת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הבכירות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נוהג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בסקטור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שתפקידם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ההכשרה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מתבטאת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הרזומה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ממבחנים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פסיכולוגים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הכשרתם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במשאבי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שבהכשרתם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16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חוזקה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הענייני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החזק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והכנה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במשאב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כמשאב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הגשמת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אינטרסים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שדמיוני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לטעמי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מסמלת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מאיבוד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במשאב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להינתן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בהגרלה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התחושה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שמלאכת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המכוננת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הגיעה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סיומה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חלו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תמורות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מטרתם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מתוקנת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ומתקדמת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הפרסונה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הכשירה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למילוי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מוחלשת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התנהלותה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בענפים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הכלה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תמידית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נורמות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המחייבות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שיוצרות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ההקפדה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החיסרון</w:t>
      </w:r>
      <w:r w:rsidDel="00000000" w:rsidR="00000000" w:rsidRPr="00000000">
        <w:rPr>
          <w:rFonts w:ascii="David" w:cs="David" w:eastAsia="David" w:hAnsi="David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והמובנה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באופי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האנושי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שנשקלות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והנהלים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המצויים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בכללי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התחושה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שבענף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שמפוקד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הקפדה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שקיימת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בענפים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בהעדר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והסכמה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שגוף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המבקר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שממונה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ידיה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מעמיד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העוסקים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בבקרה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מובנה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קיומם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המועסקים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הכלה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נורמות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פתרון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חלופי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הפתרון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חשוף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לביקורת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אוטופי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חוזקה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הענייני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אסכם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בציטוט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rtl w:val="1"/>
        </w:rPr>
        <w:t xml:space="preserve">: </w:t>
      </w:r>
    </w:p>
    <w:p w:rsidR="00000000" w:rsidDel="00000000" w:rsidP="00000000" w:rsidRDefault="00000000" w:rsidRPr="00000000" w14:paraId="0000006D">
      <w:pPr>
        <w:pageBreakBefore w:val="0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rtl w:val="1"/>
        </w:rPr>
        <w:t xml:space="preserve">רוצים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מתקדמת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הבנויה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מינהל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שלטון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אנוש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המעוצבים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יושר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הגינות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וטוהר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."</w:t>
      </w:r>
      <w:r w:rsidDel="00000000" w:rsidR="00000000" w:rsidRPr="00000000">
        <w:rPr>
          <w:rFonts w:ascii="David" w:cs="David" w:eastAsia="David" w:hAnsi="David"/>
          <w:vertAlign w:val="superscript"/>
        </w:rPr>
        <w:footnoteReference w:customMarkFollows="0" w:id="16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bidi w:val="1"/>
        <w:spacing w:line="360" w:lineRule="auto"/>
        <w:rPr>
          <w:rFonts w:ascii="David" w:cs="David" w:eastAsia="David" w:hAnsi="David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bidi w:val="1"/>
        <w:spacing w:line="480" w:lineRule="auto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ביבליוגרפיה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חקיקה</w:t>
      </w:r>
    </w:p>
    <w:p w:rsidR="00000000" w:rsidDel="00000000" w:rsidP="00000000" w:rsidRDefault="00000000" w:rsidRPr="00000000" w14:paraId="0000007D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חוקי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יסוד</w:t>
      </w:r>
    </w:p>
    <w:p w:rsidR="00000000" w:rsidDel="00000000" w:rsidP="00000000" w:rsidRDefault="00000000" w:rsidRPr="00000000" w14:paraId="0000007E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30.</w:t>
      </w:r>
    </w:p>
    <w:p w:rsidR="00000000" w:rsidDel="00000000" w:rsidP="00000000" w:rsidRDefault="00000000" w:rsidRPr="00000000" w14:paraId="0000007F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78.</w:t>
      </w:r>
    </w:p>
    <w:p w:rsidR="00000000" w:rsidDel="00000000" w:rsidP="00000000" w:rsidRDefault="00000000" w:rsidRPr="00000000" w14:paraId="00000080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ראשית</w:t>
      </w:r>
    </w:p>
    <w:p w:rsidR="00000000" w:rsidDel="00000000" w:rsidP="00000000" w:rsidRDefault="00000000" w:rsidRPr="00000000" w14:paraId="00000082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מינהליים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-2000,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190.</w:t>
      </w:r>
    </w:p>
    <w:p w:rsidR="00000000" w:rsidDel="00000000" w:rsidP="00000000" w:rsidRDefault="00000000" w:rsidRPr="00000000" w14:paraId="00000083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-1984,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198. </w:t>
      </w:r>
    </w:p>
    <w:p w:rsidR="00000000" w:rsidDel="00000000" w:rsidP="00000000" w:rsidRDefault="00000000" w:rsidRPr="00000000" w14:paraId="00000084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-1977,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226.</w:t>
      </w:r>
    </w:p>
    <w:p w:rsidR="00000000" w:rsidDel="00000000" w:rsidP="00000000" w:rsidRDefault="00000000" w:rsidRPr="00000000" w14:paraId="00000085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-1953,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149.</w:t>
      </w:r>
    </w:p>
    <w:p w:rsidR="00000000" w:rsidDel="00000000" w:rsidP="00000000" w:rsidRDefault="00000000" w:rsidRPr="00000000" w14:paraId="00000086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-1961,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178.</w:t>
      </w:r>
    </w:p>
    <w:p w:rsidR="00000000" w:rsidDel="00000000" w:rsidP="00000000" w:rsidRDefault="00000000" w:rsidRPr="00000000" w14:paraId="00000087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-1958[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31. </w:t>
      </w:r>
    </w:p>
    <w:p w:rsidR="00000000" w:rsidDel="00000000" w:rsidP="00000000" w:rsidRDefault="00000000" w:rsidRPr="00000000" w14:paraId="00000088">
      <w:pPr>
        <w:pageBreakBefore w:val="0"/>
        <w:bidi w:val="1"/>
        <w:spacing w:line="24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-1959,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86.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-1948.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201.</w:t>
      </w:r>
    </w:p>
    <w:p w:rsidR="00000000" w:rsidDel="00000000" w:rsidP="00000000" w:rsidRDefault="00000000" w:rsidRPr="00000000" w14:paraId="0000008B">
      <w:pPr>
        <w:pageBreakBefore w:val="0"/>
        <w:bidi w:val="1"/>
        <w:spacing w:line="48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חקיקת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משנה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-1984,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2370.      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–2017,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/4071/20.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–2016,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/3440/20.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לכהונה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–2014,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/2108/19.</w:t>
      </w:r>
    </w:p>
    <w:p w:rsidR="00000000" w:rsidDel="00000000" w:rsidP="00000000" w:rsidRDefault="00000000" w:rsidRPr="00000000" w14:paraId="00000095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–2011,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/3423/18.</w:t>
      </w:r>
    </w:p>
    <w:p w:rsidR="00000000" w:rsidDel="00000000" w:rsidP="00000000" w:rsidRDefault="00000000" w:rsidRPr="00000000" w14:paraId="00000098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–2009,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/1760/18.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2017,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/4529/20.</w:t>
      </w:r>
    </w:p>
    <w:p w:rsidR="00000000" w:rsidDel="00000000" w:rsidP="00000000" w:rsidRDefault="00000000" w:rsidRPr="00000000" w14:paraId="0000009A">
      <w:pPr>
        <w:pageBreakBefore w:val="0"/>
        <w:bidi w:val="1"/>
        <w:spacing w:line="240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bidi w:val="1"/>
        <w:spacing w:line="48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פסיקה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bidi w:val="1"/>
        <w:spacing w:line="24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העליון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9029/16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אבירם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1.2.2017).</w:t>
      </w:r>
    </w:p>
    <w:p w:rsidR="00000000" w:rsidDel="00000000" w:rsidP="00000000" w:rsidRDefault="00000000" w:rsidRPr="00000000" w14:paraId="0000009E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232/16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8.5.2016). </w:t>
      </w:r>
    </w:p>
    <w:p w:rsidR="00000000" w:rsidDel="00000000" w:rsidP="00000000" w:rsidRDefault="00000000" w:rsidRPr="00000000" w14:paraId="0000009F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8134/11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האוצר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29.1.2012).</w:t>
      </w:r>
    </w:p>
    <w:p w:rsidR="00000000" w:rsidDel="00000000" w:rsidP="00000000" w:rsidRDefault="00000000" w:rsidRPr="00000000" w14:paraId="000000A0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bookmarkStart w:colFirst="0" w:colLast="0" w:name="_heading=h.3j2qqm3" w:id="19"/>
      <w:bookmarkEnd w:id="19"/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2699/11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17.5.2011).</w:t>
      </w:r>
    </w:p>
    <w:p w:rsidR="00000000" w:rsidDel="00000000" w:rsidP="00000000" w:rsidRDefault="00000000" w:rsidRPr="00000000" w14:paraId="000000A1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7239/06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יטיב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''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6.9.2006).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4717/04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20.5.2004).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1397/03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385 (2004).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5759/04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(6) 658 (2004).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10112/02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ולבנייה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817 (2003).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585/01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קלכמן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694 (2003).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bidi w:val="1"/>
        <w:spacing w:line="24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6494/00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חזי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יפו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(5) 101 (2000).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2159/97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אשקלון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75 (1998).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bidi w:val="1"/>
        <w:spacing w:line="24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5771/93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ציטרין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(1) 661 (1993).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1601/90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353 (1990).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2/80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144 (1980).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531/79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סיעת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הליכוד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בעיריית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תקוה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תקוה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(2) 566 (1980).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ספרות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החוקתי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(2005).</w:t>
      </w:r>
    </w:p>
    <w:p w:rsidR="00000000" w:rsidDel="00000000" w:rsidP="00000000" w:rsidRDefault="00000000" w:rsidRPr="00000000" w14:paraId="000000B9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החוקתי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ואזרחות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2005).</w:t>
      </w:r>
    </w:p>
    <w:p w:rsidR="00000000" w:rsidDel="00000000" w:rsidP="00000000" w:rsidRDefault="00000000" w:rsidRPr="00000000" w14:paraId="000000BA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והחרב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(2013).  </w:t>
      </w:r>
    </w:p>
    <w:p w:rsidR="00000000" w:rsidDel="00000000" w:rsidP="00000000" w:rsidRDefault="00000000" w:rsidRPr="00000000" w14:paraId="000000BB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2003). 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סקונדה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מונטסקייה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       </w:t>
      </w:r>
    </w:p>
    <w:p w:rsidR="00000000" w:rsidDel="00000000" w:rsidP="00000000" w:rsidRDefault="00000000" w:rsidRPr="00000000" w14:paraId="000000BD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(2004).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מאמרים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הפרקליט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355 (1974).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דפנה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בשחיתות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השלטונית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667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 </w:t>
      </w:r>
    </w:p>
    <w:p w:rsidR="00000000" w:rsidDel="00000000" w:rsidP="00000000" w:rsidRDefault="00000000" w:rsidRPr="00000000" w14:paraId="000000C2">
      <w:pPr>
        <w:pageBreakBefore w:val="0"/>
        <w:bidi w:val="1"/>
        <w:spacing w:line="240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מינהלית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63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״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׳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C4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אגמון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מבפנים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216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C5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מחקרי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515 (2003).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זלצברגר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אמפיריים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מחקרי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541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-2003).</w:t>
      </w:r>
    </w:p>
    <w:p w:rsidR="00000000" w:rsidDel="00000000" w:rsidP="00000000" w:rsidRDefault="00000000" w:rsidRPr="00000000" w14:paraId="000000C7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357(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דוחות</w:t>
      </w:r>
    </w:p>
    <w:p w:rsidR="00000000" w:rsidDel="00000000" w:rsidP="00000000" w:rsidRDefault="00000000" w:rsidRPr="00000000" w14:paraId="000000C9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וחשבון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לסדרי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(2001).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bidi w:val="1"/>
        <w:spacing w:line="480" w:lineRule="auto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הנחיות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ומוקבליהם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כתבות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bidi w:val="1"/>
        <w:spacing w:line="24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www.ynet.co.il/articles/0,7340,L-4979277,00.html.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hyperlink r:id="rId9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0"/>
          </w:rPr>
          <w:t xml:space="preserve">www.calcalist.co.il/local/articles/0,7340,L-3701385,00.html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2">
      <w:pPr>
        <w:pageBreakBefore w:val="0"/>
        <w:bidi w:val="1"/>
        <w:spacing w:line="24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bidi w:val="1"/>
        <w:spacing w:line="48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קנדה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bidi w:val="1"/>
        <w:spacing w:line="480" w:lineRule="auto"/>
        <w:rPr>
          <w:rFonts w:ascii="David" w:cs="David" w:eastAsia="David" w:hAnsi="David"/>
        </w:rPr>
      </w:pPr>
      <w:bookmarkStart w:colFirst="0" w:colLast="0" w:name="_heading=h.1y810tw" w:id="20"/>
      <w:bookmarkEnd w:id="20"/>
      <w:hyperlink r:id="rId10">
        <w:r w:rsidDel="00000000" w:rsidR="00000000" w:rsidRPr="00000000">
          <w:rPr>
            <w:rFonts w:ascii="David" w:cs="David" w:eastAsia="David" w:hAnsi="David"/>
            <w:color w:val="0563c1"/>
            <w:u w:val="single"/>
            <w:rtl w:val="0"/>
          </w:rPr>
          <w:t xml:space="preserve">http://pm.gc.ca/eng/news/2016/08/02/new-process-judicial-appointments-supreme-court-canada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bidi w:val="1"/>
        <w:spacing w:line="480" w:lineRule="auto"/>
        <w:rPr>
          <w:rFonts w:ascii="David" w:cs="David" w:eastAsia="David" w:hAnsi="David"/>
        </w:rPr>
      </w:pPr>
      <w:hyperlink r:id="rId11">
        <w:r w:rsidDel="00000000" w:rsidR="00000000" w:rsidRPr="00000000">
          <w:rPr>
            <w:rFonts w:ascii="David" w:cs="David" w:eastAsia="David" w:hAnsi="David"/>
            <w:color w:val="0563c1"/>
            <w:u w:val="single"/>
            <w:rtl w:val="0"/>
          </w:rPr>
          <w:t xml:space="preserve">https://www.theglobeandmail.com/opinion/why-canada-has-a-new-way-to-choose-supreme-court-judges/article31220275/</w:t>
        </w:r>
      </w:hyperlink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sectPr>
      <w:type w:val="continuous"/>
      <w:pgSz w:h="16838" w:w="11906" w:orient="portrait"/>
      <w:pgMar w:bottom="1440" w:top="1440" w:left="1800" w:right="18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9029/16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14- 16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1.2.2017) 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</w:footnote>
  <w:footnote w:id="1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131 (2005)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</w:footnote>
  <w:footnote w:id="2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249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2003)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ci93xb" w:id="23"/>
      <w:bookmarkEnd w:id="2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8134/11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ריבלין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29.1.2012)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</w:footnote>
  <w:footnote w:id="4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11.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נשאל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5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1. </w:t>
      </w:r>
    </w:p>
  </w:footnote>
  <w:footnote w:id="6"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-1948. </w:t>
      </w:r>
    </w:p>
  </w:footnote>
  <w:footnote w:id="7"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qsh70q" w:id="26"/>
      <w:bookmarkEnd w:id="2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מחקרי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515, 517 -518   (2003) (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"). </w:t>
      </w:r>
    </w:p>
  </w:footnote>
  <w:footnote w:id="8"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-1953,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149. </w:t>
      </w:r>
    </w:p>
  </w:footnote>
  <w:footnote w:id="9"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pxezwc" w:id="28"/>
      <w:bookmarkEnd w:id="2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-1953.</w:t>
      </w:r>
    </w:p>
  </w:footnote>
  <w:footnote w:id="10"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78. </w:t>
      </w:r>
    </w:p>
  </w:footnote>
  <w:footnote w:id="12"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9x2ik5" w:id="29"/>
      <w:bookmarkEnd w:id="2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-1961,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178. </w:t>
      </w:r>
    </w:p>
  </w:footnote>
  <w:footnote w:id="14"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p2csry" w:id="30"/>
      <w:bookmarkEnd w:id="3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(2004)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</w:footnote>
  <w:footnote w:id="15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87.  </w:t>
      </w:r>
    </w:p>
  </w:footnote>
  <w:footnote w:id="16"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גוריון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8. </w:t>
      </w:r>
    </w:p>
  </w:footnote>
  <w:footnote w:id="17"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527.</w:t>
      </w:r>
    </w:p>
  </w:footnote>
  <w:footnote w:id="18"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516. </w:t>
      </w:r>
    </w:p>
  </w:footnote>
  <w:footnote w:id="19"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47n2zr" w:id="31"/>
      <w:bookmarkEnd w:id="3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278.     </w:t>
      </w:r>
    </w:p>
  </w:footnote>
  <w:footnote w:id="20"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o7alnk" w:id="32"/>
      <w:bookmarkEnd w:id="3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וחשבון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לסדרי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29 (2001)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21"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-1984,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198.</w:t>
      </w:r>
    </w:p>
  </w:footnote>
  <w:footnote w:id="22"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ihv636" w:id="34"/>
      <w:bookmarkEnd w:id="3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23"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2hioqz" w:id="35"/>
      <w:bookmarkEnd w:id="3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-1984.</w:t>
      </w:r>
    </w:p>
  </w:footnote>
  <w:footnote w:id="26"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hmsyys" w:id="36"/>
      <w:bookmarkEnd w:id="3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16.</w:t>
      </w:r>
    </w:p>
  </w:footnote>
  <w:footnote w:id="27"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1mghml" w:id="37"/>
      <w:bookmarkEnd w:id="3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278.     </w:t>
      </w:r>
    </w:p>
  </w:footnote>
  <w:footnote w:id="28"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grqrue" w:id="38"/>
      <w:bookmarkEnd w:id="3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15.</w:t>
      </w:r>
    </w:p>
  </w:footnote>
  <w:footnote w:id="29"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vx1227" w:id="39"/>
      <w:bookmarkEnd w:id="3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29. </w:t>
      </w:r>
    </w:p>
  </w:footnote>
  <w:footnote w:id="30"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fwokq0" w:id="40"/>
      <w:bookmarkEnd w:id="4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211.</w:t>
      </w:r>
    </w:p>
  </w:footnote>
  <w:footnote w:id="32"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v1yuxt" w:id="41"/>
      <w:bookmarkEnd w:id="4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14.  </w:t>
      </w:r>
    </w:p>
  </w:footnote>
  <w:footnote w:id="33"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f1mdlm" w:id="42"/>
      <w:bookmarkEnd w:id="4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אגמון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216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"). </w:t>
      </w:r>
    </w:p>
  </w:footnote>
  <w:footnote w:id="34"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14.</w:t>
      </w:r>
    </w:p>
  </w:footnote>
  <w:footnote w:id="35"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u6wntf" w:id="43"/>
      <w:bookmarkEnd w:id="4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36"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9c6y18" w:id="44"/>
      <w:bookmarkEnd w:id="4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218.   </w:t>
      </w:r>
    </w:p>
  </w:footnote>
  <w:footnote w:id="37"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tbugp1" w:id="45"/>
      <w:bookmarkEnd w:id="4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217.      </w:t>
      </w:r>
    </w:p>
  </w:footnote>
  <w:footnote w:id="38"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8h4qwu" w:id="46"/>
      <w:bookmarkEnd w:id="4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39"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nmf14n" w:id="47"/>
      <w:bookmarkEnd w:id="4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221.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256.  . </w:t>
      </w:r>
    </w:p>
  </w:footnote>
  <w:footnote w:id="40"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272-271. </w:t>
      </w:r>
    </w:p>
  </w:footnote>
  <w:footnote w:id="41"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221.  </w:t>
      </w:r>
    </w:p>
  </w:footnote>
  <w:footnote w:id="42"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7m2jsg" w:id="48"/>
      <w:bookmarkEnd w:id="48"/>
      <w:r w:rsidDel="00000000" w:rsidR="00000000" w:rsidRPr="00000000">
        <w:rPr>
          <w:rStyle w:val="FootnoteReference"/>
          <w:vertAlign w:val="superscript"/>
        </w:rPr>
        <w:footnoteRef/>
      </w:r>
      <w:hyperlink r:id="rId1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www.ynet.co.il/articles/0,7340,L-4979277,00.html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211. </w:t>
      </w:r>
    </w:p>
  </w:footnote>
  <w:footnote w:id="43"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mrcu09" w:id="49"/>
      <w:bookmarkEnd w:id="4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44"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10(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6r0co2" w:id="50"/>
      <w:bookmarkEnd w:id="5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413 (2013)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מעיכוב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שמקורו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46"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389,357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47"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159.</w:t>
      </w:r>
    </w:p>
  </w:footnote>
  <w:footnote w:id="48"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127.</w:t>
      </w:r>
    </w:p>
  </w:footnote>
  <w:footnote w:id="49"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שארל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סקונדה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מונטסקייה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148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</w:t>
      </w:r>
    </w:p>
  </w:footnote>
  <w:footnote w:id="50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14. </w:t>
      </w:r>
    </w:p>
  </w:footnote>
  <w:footnote w:id="51"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14.</w:t>
      </w:r>
    </w:p>
  </w:footnote>
  <w:footnote w:id="52"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lwamvv" w:id="51"/>
      <w:bookmarkEnd w:id="5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מינהלית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63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53"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11kx3o" w:id="52"/>
      <w:bookmarkEnd w:id="5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אהרן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כתבים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950-949 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54"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950. </w:t>
      </w:r>
    </w:p>
  </w:footnote>
  <w:footnote w:id="55"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l18frh" w:id="53"/>
      <w:bookmarkEnd w:id="5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56"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06ipza" w:id="54"/>
      <w:bookmarkEnd w:id="5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57"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k668n3" w:id="55"/>
      <w:bookmarkEnd w:id="5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46.</w:t>
      </w:r>
    </w:p>
  </w:footnote>
  <w:footnote w:id="58"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zbgiuw" w:id="56"/>
      <w:bookmarkEnd w:id="5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'421-411.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113-111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מרידור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שעסקאות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דורנר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בתקופתה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.</w:t>
      </w:r>
    </w:p>
  </w:footnote>
  <w:footnote w:id="59"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)(2)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    </w:t>
      </w:r>
    </w:p>
  </w:footnote>
  <w:footnote w:id="60"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egqt2p" w:id="57"/>
      <w:bookmarkEnd w:id="5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418-417. </w:t>
      </w:r>
    </w:p>
  </w:footnote>
  <w:footnote w:id="61"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ygebqi" w:id="58"/>
      <w:bookmarkEnd w:id="5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232/16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ובראן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8.5.2016)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</w:footnote>
  <w:footnote w:id="62"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585/01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קלכמן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(1) 699,694 (2003). </w:t>
      </w:r>
    </w:p>
  </w:footnote>
  <w:footnote w:id="63"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64"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6494/00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יפו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(5) 106,101 (2000). </w:t>
      </w:r>
    </w:p>
  </w:footnote>
  <w:footnote w:id="65"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ומוקבליהם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נציבות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76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66"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dlolyb" w:id="59"/>
      <w:bookmarkEnd w:id="5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1397/03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(4) 448,385 (2004)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</w:footnote>
  <w:footnote w:id="67"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sqyw64" w:id="60"/>
      <w:bookmarkEnd w:id="6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10112/02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המחוזית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ולבנייה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(2) 841,817 (2003)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</w:footnote>
  <w:footnote w:id="68"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835</w:t>
      </w:r>
    </w:p>
  </w:footnote>
  <w:footnote w:id="69"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836-835.</w:t>
      </w:r>
    </w:p>
  </w:footnote>
  <w:footnote w:id="70"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837. </w:t>
      </w:r>
    </w:p>
  </w:footnote>
  <w:footnote w:id="71"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836. </w:t>
      </w:r>
    </w:p>
  </w:footnote>
  <w:footnote w:id="72"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cqmetx" w:id="61"/>
      <w:bookmarkEnd w:id="6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68(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73"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74"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68(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rvwp1q" w:id="62"/>
      <w:bookmarkEnd w:id="6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5759/04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(6) 663-662,658 (2004)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</w:footnote>
  <w:footnote w:id="76"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77"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bvk7pj" w:id="63"/>
      <w:bookmarkEnd w:id="6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5771/93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ציטרין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(1) 661 (1993)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ציטרין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78"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671.</w:t>
      </w:r>
    </w:p>
  </w:footnote>
  <w:footnote w:id="79"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r0uhxc" w:id="64"/>
      <w:bookmarkEnd w:id="6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'662.   </w:t>
      </w:r>
    </w:p>
  </w:footnote>
  <w:footnote w:id="80"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81"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82"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ציטרין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78,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676.</w:t>
      </w:r>
    </w:p>
  </w:footnote>
  <w:footnote w:id="83"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673.</w:t>
      </w:r>
    </w:p>
  </w:footnote>
  <w:footnote w:id="84"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664s55" w:id="65"/>
      <w:bookmarkEnd w:id="6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85"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q5sasy" w:id="66"/>
      <w:bookmarkEnd w:id="6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68,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835. </w:t>
      </w:r>
    </w:p>
  </w:footnote>
  <w:footnote w:id="86"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662.</w:t>
      </w:r>
    </w:p>
  </w:footnote>
  <w:footnote w:id="87"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1601/90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(3) 365,353 (1990).</w:t>
      </w:r>
    </w:p>
  </w:footnote>
  <w:footnote w:id="88"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5b2l0r" w:id="67"/>
      <w:bookmarkEnd w:id="6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531/79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תקוה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תקוה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(2)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571,566 (1980)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</w:footnote>
  <w:footnote w:id="89"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571. </w:t>
      </w:r>
    </w:p>
  </w:footnote>
  <w:footnote w:id="90"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572.</w:t>
      </w:r>
    </w:p>
  </w:footnote>
  <w:footnote w:id="91"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92"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574.</w:t>
      </w:r>
    </w:p>
  </w:footnote>
  <w:footnote w:id="93"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kgcv8k" w:id="68"/>
      <w:bookmarkEnd w:id="6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94"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4g0dwd" w:id="69"/>
      <w:bookmarkEnd w:id="6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187.  </w:t>
      </w:r>
    </w:p>
  </w:footnote>
  <w:footnote w:id="95"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jlao46" w:id="70"/>
      <w:bookmarkEnd w:id="7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96"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והחרב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198-196.</w:t>
      </w:r>
    </w:p>
  </w:footnote>
  <w:footnote w:id="97"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200,190. </w:t>
      </w:r>
    </w:p>
  </w:footnote>
  <w:footnote w:id="98"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3ky6rz" w:id="71"/>
      <w:bookmarkEnd w:id="7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280-279. </w:t>
      </w:r>
    </w:p>
  </w:footnote>
  <w:footnote w:id="99"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iq8gzs" w:id="72"/>
      <w:bookmarkEnd w:id="7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00"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vir7l" w:id="73"/>
      <w:bookmarkEnd w:id="7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69. </w:t>
      </w:r>
    </w:p>
  </w:footnote>
  <w:footnote w:id="101"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70-69. </w:t>
      </w:r>
    </w:p>
  </w:footnote>
  <w:footnote w:id="102"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hv69ve" w:id="74"/>
      <w:bookmarkEnd w:id="7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ריבלין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03"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והמאבק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בשחיתות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678,667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 </w:t>
      </w:r>
    </w:p>
  </w:footnote>
  <w:footnote w:id="104"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685.</w:t>
      </w:r>
    </w:p>
  </w:footnote>
  <w:footnote w:id="105"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678.</w:t>
      </w:r>
    </w:p>
  </w:footnote>
  <w:footnote w:id="106"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x0gk37" w:id="75"/>
      <w:bookmarkEnd w:id="7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103. </w:t>
      </w:r>
    </w:p>
  </w:footnote>
  <w:footnote w:id="107"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פוליטיים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״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23,19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׳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08"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ויתקון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הפרקליט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358,355 (1974).</w:t>
      </w:r>
    </w:p>
  </w:footnote>
  <w:footnote w:id="109"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356. </w:t>
      </w:r>
    </w:p>
  </w:footnote>
  <w:footnote w:id="110"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11"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132. </w:t>
      </w:r>
    </w:p>
  </w:footnote>
  <w:footnote w:id="112"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h042r0" w:id="76"/>
      <w:bookmarkEnd w:id="7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–2009,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/1760/18.</w:t>
      </w:r>
    </w:p>
  </w:footnote>
  <w:footnote w:id="113"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www.calcalist.co.il/local/articles/0,7340,L-3701385,00.html</w:t>
        </w:r>
      </w:hyperlink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4"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15"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116"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w5ecyt" w:id="77"/>
      <w:bookmarkEnd w:id="7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277.</w:t>
      </w:r>
    </w:p>
  </w:footnote>
  <w:footnote w:id="117"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2/80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הדתות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(3) 147,144 (1980).</w:t>
      </w:r>
    </w:p>
  </w:footnote>
  <w:footnote w:id="118"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baon6m" w:id="78"/>
      <w:bookmarkEnd w:id="7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)(2)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 </w:t>
      </w:r>
    </w:p>
  </w:footnote>
  <w:footnote w:id="119"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/3440/20.</w:t>
      </w:r>
    </w:p>
  </w:footnote>
  <w:footnote w:id="120"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www.ynet.co.il/articles/0,7340,L-4875078,00.html</w:t>
      </w:r>
    </w:p>
  </w:footnote>
  <w:footnote w:id="121"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vac5uf" w:id="79"/>
      <w:bookmarkEnd w:id="7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22"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3(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לענינים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מינהליים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-2000.</w:t>
      </w:r>
    </w:p>
  </w:footnote>
  <w:footnote w:id="123"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82(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24"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afmg28" w:id="80"/>
      <w:bookmarkEnd w:id="8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25"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pkwqa1" w:id="81"/>
      <w:bookmarkEnd w:id="8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7239/06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יטיב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ברלינר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6.9.2006).   </w:t>
      </w:r>
    </w:p>
  </w:footnote>
  <w:footnote w:id="126"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4717/04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20.5.2004). </w:t>
      </w:r>
    </w:p>
  </w:footnote>
  <w:footnote w:id="127"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9kk8xu" w:id="82"/>
      <w:bookmarkEnd w:id="8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28"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2159/97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אזורית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אשקלון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(1) 89,75 (1998).</w:t>
      </w:r>
    </w:p>
  </w:footnote>
  <w:footnote w:id="129"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opuj5n" w:id="83"/>
      <w:bookmarkEnd w:id="8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272-271.</w:t>
      </w:r>
    </w:p>
  </w:footnote>
  <w:footnote w:id="130"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8pi1tg" w:id="84"/>
      <w:bookmarkEnd w:id="8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258. </w:t>
      </w:r>
    </w:p>
  </w:footnote>
  <w:footnote w:id="131"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nusc19" w:id="85"/>
      <w:bookmarkEnd w:id="8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277. </w:t>
      </w:r>
    </w:p>
  </w:footnote>
  <w:footnote w:id="132"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302m92" w:id="86"/>
      <w:bookmarkEnd w:id="8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50. </w:t>
      </w:r>
    </w:p>
  </w:footnote>
  <w:footnote w:id="133"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71.   </w:t>
      </w:r>
    </w:p>
  </w:footnote>
  <w:footnote w:id="134"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35"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279.</w:t>
      </w:r>
    </w:p>
  </w:footnote>
  <w:footnote w:id="136"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mzq4wv" w:id="87"/>
      <w:bookmarkEnd w:id="8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49.</w:t>
      </w:r>
    </w:p>
  </w:footnote>
  <w:footnote w:id="137"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249. </w:t>
      </w:r>
    </w:p>
  </w:footnote>
  <w:footnote w:id="138"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222. </w:t>
      </w:r>
    </w:p>
  </w:footnote>
  <w:footnote w:id="139"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250f4o" w:id="88"/>
      <w:bookmarkEnd w:id="8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19.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/4071/20.</w:t>
      </w:r>
    </w:p>
  </w:footnote>
  <w:footnote w:id="140"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לכהונה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/2108/19.</w:t>
      </w:r>
    </w:p>
  </w:footnote>
  <w:footnote w:id="141"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haapch" w:id="89"/>
      <w:bookmarkEnd w:id="8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לכהונה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/2108/19.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זלצברגר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־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ועצמאות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תיאורטי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אמפיריים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מחקרי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562,541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-2003).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בסטטוס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מפגין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מפגין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פסיקתם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כהתנגדות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הסטטיסטיקה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42"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19y80a" w:id="90"/>
      <w:bookmarkEnd w:id="9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2017,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/4529/20.</w:t>
      </w:r>
    </w:p>
  </w:footnote>
  <w:footnote w:id="143"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ההסבר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2017,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/4529/20.</w:t>
      </w:r>
    </w:p>
  </w:footnote>
  <w:footnote w:id="144"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295. </w:t>
      </w:r>
    </w:p>
  </w:footnote>
  <w:footnote w:id="145"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gf8i83" w:id="92"/>
      <w:bookmarkEnd w:id="9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–2011, </w:t>
      </w:r>
      <w:bookmarkStart w:colFirst="0" w:colLast="0" w:name="bookmark=id.40ew0vw" w:id="91"/>
      <w:bookmarkEnd w:id="91"/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/3423/18.</w:t>
      </w:r>
    </w:p>
  </w:footnote>
  <w:footnote w:id="146"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שקיפות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–2011,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/3423/18.</w:t>
      </w:r>
    </w:p>
  </w:footnote>
  <w:footnote w:id="147"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fk6b3p" w:id="93"/>
      <w:bookmarkEnd w:id="9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168.</w:t>
      </w:r>
    </w:p>
  </w:footnote>
  <w:footnote w:id="148"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222.  </w:t>
      </w:r>
    </w:p>
  </w:footnote>
  <w:footnote w:id="149"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285.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50"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https://www.theglobeandmail.com/opinion/why-canada-has-a-new-way-to-choose-supreme-court-judges/article31220275/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51">
    <w:p w:rsidR="00000000" w:rsidDel="00000000" w:rsidP="00000000" w:rsidRDefault="00000000" w:rsidRPr="00000000" w14:paraId="0000016D">
      <w:pPr>
        <w:pageBreakBefore w:val="0"/>
        <w:bidi w:val="1"/>
        <w:spacing w:line="240" w:lineRule="auto"/>
        <w:rPr>
          <w:rFonts w:ascii="David" w:cs="David" w:eastAsia="David" w:hAnsi="David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hyperlink r:id="rId4">
        <w:r w:rsidDel="00000000" w:rsidR="00000000" w:rsidRPr="00000000">
          <w:rPr>
            <w:rFonts w:ascii="David" w:cs="David" w:eastAsia="David" w:hAnsi="David"/>
            <w:color w:val="0563c1"/>
            <w:u w:val="single"/>
            <w:rtl w:val="0"/>
          </w:rPr>
          <w:t xml:space="preserve">http://pm.gc.ca/eng/news/2016/08/02/new-process-judicial-appointments-supreme-court-canada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קנדה</w:t>
      </w:r>
      <w:r w:rsidDel="00000000" w:rsidR="00000000" w:rsidRPr="00000000">
        <w:rPr>
          <w:rFonts w:ascii="David" w:cs="David" w:eastAsia="David" w:hAnsi="David"/>
          <w:rtl w:val="1"/>
        </w:rPr>
        <w:t xml:space="preserve">).</w:t>
      </w:r>
    </w:p>
  </w:footnote>
  <w:footnote w:id="152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ואזרחות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999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מהדורה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2005).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מוסדרת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-1959,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53"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-1971.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המפכ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</w:t>
      </w:r>
    </w:p>
  </w:footnote>
  <w:footnote w:id="154"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upglbi" w:id="94"/>
      <w:bookmarkEnd w:id="9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1(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-1958[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].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חשאית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 </w:t>
      </w:r>
    </w:p>
  </w:footnote>
  <w:footnote w:id="155"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2699/11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7,4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ריבלין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17.5.2011).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חורגת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56"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-1959.</w:t>
      </w:r>
    </w:p>
  </w:footnote>
  <w:footnote w:id="157"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21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הגמיש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 </w:t>
      </w:r>
    </w:p>
  </w:footnote>
  <w:footnote w:id="158"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ep43zb" w:id="95"/>
      <w:bookmarkEnd w:id="95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59"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uee74" w:id="96"/>
      <w:bookmarkEnd w:id="9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23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60"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61"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du1wux" w:id="97"/>
      <w:bookmarkEnd w:id="9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89,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572. ("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</w:t>
      </w:r>
    </w:p>
  </w:footnote>
  <w:footnote w:id="162"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szc72q" w:id="98"/>
      <w:bookmarkEnd w:id="9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285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-286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-1977. </w:t>
      </w:r>
    </w:p>
  </w:footnote>
  <w:footnote w:id="163"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257. </w:t>
      </w:r>
    </w:p>
  </w:footnote>
  <w:footnote w:id="164"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84mhaj" w:id="99"/>
      <w:bookmarkEnd w:id="99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68,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836.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65"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406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www.theglobeandmail.com/opinion/why-canada-has-a-new-way-to-choose-supreme-court-judges/article31220275/" TargetMode="External"/><Relationship Id="rId10" Type="http://schemas.openxmlformats.org/officeDocument/2006/relationships/hyperlink" Target="http://pm.gc.ca/eng/news/2016/08/02/new-process-judicial-appointments-supreme-court-canada" TargetMode="External"/><Relationship Id="rId9" Type="http://schemas.openxmlformats.org/officeDocument/2006/relationships/hyperlink" Target="http://www.calcalist.co.il/local/articles/0,7340,L-3701385,00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ynet.co.il/articles/0,7340,L-4979277,00.html" TargetMode="External"/><Relationship Id="rId2" Type="http://schemas.openxmlformats.org/officeDocument/2006/relationships/hyperlink" Target="http://www.calcalist.co.il/local/articles/0,7340,L-3701385,00.html" TargetMode="External"/><Relationship Id="rId3" Type="http://schemas.openxmlformats.org/officeDocument/2006/relationships/hyperlink" Target="https://www.theglobeandmail.com/opinion/why-canada-has-a-new-way-to-choose-supreme-court-judges/article31220275/" TargetMode="External"/><Relationship Id="rId4" Type="http://schemas.openxmlformats.org/officeDocument/2006/relationships/hyperlink" Target="http://pm.gc.ca/eng/news/2016/08/02/new-process-judicial-appointments-supreme-court-can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hCsAzH29yaGOxrPCEilzSaFsxg==">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